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5102"/>
      </w:tblGrid>
      <w:tr w:rsidR="0014563B" w:rsidTr="005577E8">
        <w:tc>
          <w:tcPr>
            <w:tcW w:w="5070" w:type="dxa"/>
            <w:shd w:val="clear" w:color="auto" w:fill="auto"/>
          </w:tcPr>
          <w:p w:rsidR="0014563B" w:rsidRDefault="0014563B" w:rsidP="005577E8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63B" w:rsidRDefault="0014563B" w:rsidP="005577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63B" w:rsidRDefault="0014563B" w:rsidP="005577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63B" w:rsidRDefault="0014563B" w:rsidP="005577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63B" w:rsidRDefault="0014563B" w:rsidP="005577E8"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</w:t>
            </w:r>
          </w:p>
          <w:p w:rsidR="0014563B" w:rsidRDefault="0014563B" w:rsidP="005577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63B" w:rsidRDefault="0014563B" w:rsidP="005577E8">
            <w:pPr>
              <w:pStyle w:val="a3"/>
              <w:snapToGrid w:val="0"/>
              <w:jc w:val="left"/>
            </w:pPr>
            <w:r>
              <w:rPr>
                <w:bCs/>
              </w:rPr>
              <w:t>«____»___________________ 2022 г.</w:t>
            </w:r>
          </w:p>
        </w:tc>
        <w:tc>
          <w:tcPr>
            <w:tcW w:w="5102" w:type="dxa"/>
            <w:shd w:val="clear" w:color="auto" w:fill="auto"/>
          </w:tcPr>
          <w:p w:rsidR="0014563B" w:rsidRDefault="0014563B" w:rsidP="005577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41C5" w:rsidRDefault="004141C5" w:rsidP="005577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41C5" w:rsidRDefault="004141C5" w:rsidP="005577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63B" w:rsidRDefault="0014563B" w:rsidP="005577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63B" w:rsidRDefault="0014563B" w:rsidP="005577E8">
            <w:pPr>
              <w:pStyle w:val="a5"/>
              <w:widowControl w:val="0"/>
              <w:jc w:val="left"/>
              <w:rPr>
                <w:rFonts w:eastAsia="Courier New"/>
                <w:bCs/>
              </w:rPr>
            </w:pPr>
            <w:r>
              <w:rPr>
                <w:rFonts w:eastAsia="Courier New"/>
                <w:bCs/>
              </w:rPr>
              <w:t>_________________</w:t>
            </w:r>
          </w:p>
          <w:p w:rsidR="004141C5" w:rsidRDefault="004141C5" w:rsidP="005577E8">
            <w:pPr>
              <w:pStyle w:val="a5"/>
              <w:widowControl w:val="0"/>
              <w:jc w:val="left"/>
            </w:pPr>
          </w:p>
          <w:p w:rsidR="0014563B" w:rsidRDefault="0014563B" w:rsidP="005577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63B" w:rsidRDefault="0014563B" w:rsidP="005577E8"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«____»___________________ 2022 г.</w:t>
            </w:r>
          </w:p>
        </w:tc>
      </w:tr>
      <w:tr w:rsidR="0014563B" w:rsidTr="005577E8">
        <w:tc>
          <w:tcPr>
            <w:tcW w:w="5070" w:type="dxa"/>
            <w:shd w:val="clear" w:color="auto" w:fill="auto"/>
          </w:tcPr>
          <w:p w:rsidR="0014563B" w:rsidRDefault="0014563B" w:rsidP="005577E8">
            <w:pPr>
              <w:snapToGrid w:val="0"/>
            </w:pPr>
          </w:p>
        </w:tc>
        <w:tc>
          <w:tcPr>
            <w:tcW w:w="5102" w:type="dxa"/>
            <w:shd w:val="clear" w:color="auto" w:fill="auto"/>
          </w:tcPr>
          <w:p w:rsidR="0014563B" w:rsidRDefault="0014563B" w:rsidP="005577E8">
            <w:pPr>
              <w:snapToGrid w:val="0"/>
            </w:pPr>
          </w:p>
        </w:tc>
      </w:tr>
    </w:tbl>
    <w:p w:rsidR="0014563B" w:rsidRDefault="0014563B" w:rsidP="0014563B">
      <w:pPr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ТЕХНИЧЕСКОЕ ЗАДАНИЕ</w:t>
      </w:r>
    </w:p>
    <w:p w:rsidR="0014563B" w:rsidRDefault="0014563B" w:rsidP="0014563B">
      <w:pPr>
        <w:jc w:val="center"/>
      </w:pPr>
      <w:r>
        <w:rPr>
          <w:rFonts w:ascii="Times New Roman" w:hAnsi="Times New Roman" w:cs="Times New Roman"/>
          <w:sz w:val="28"/>
          <w:szCs w:val="28"/>
        </w:rPr>
        <w:t>НА РАЗРАБОТКУ ПРОЕКТНОЙ И РАБОЧЕЙ ДОКУМЕНТАЦИИ</w:t>
      </w:r>
    </w:p>
    <w:p w:rsidR="0014563B" w:rsidRDefault="00B80497" w:rsidP="001456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«Система электроснабжения»</w:t>
      </w:r>
    </w:p>
    <w:p w:rsidR="0014563B" w:rsidRDefault="0014563B" w:rsidP="001456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63B" w:rsidRPr="003B2CED" w:rsidRDefault="00BB0240" w:rsidP="00BB02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</w:t>
      </w:r>
      <w:r w:rsidRPr="003B2CED">
        <w:rPr>
          <w:rFonts w:ascii="Times New Roman" w:hAnsi="Times New Roman" w:cs="Times New Roman"/>
          <w:sz w:val="28"/>
          <w:szCs w:val="28"/>
        </w:rPr>
        <w:t>:</w:t>
      </w:r>
    </w:p>
    <w:p w:rsidR="0014563B" w:rsidRDefault="0014563B" w:rsidP="0014563B">
      <w:pPr>
        <w:widowControl/>
        <w:spacing w:line="228" w:lineRule="auto"/>
        <w:ind w:left="-57" w:right="-57"/>
        <w:jc w:val="center"/>
        <w:rPr>
          <w:rFonts w:ascii="Times New Roman" w:hAnsi="Times New Roman" w:cs="Times New Roman"/>
          <w:b/>
          <w:bCs/>
          <w:sz w:val="32"/>
          <w:szCs w:val="32"/>
          <w:lang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bidi="ru-RU"/>
        </w:rPr>
        <w:t xml:space="preserve">Строительство корпуса 7А для термообработки деталей </w:t>
      </w:r>
    </w:p>
    <w:p w:rsidR="0014563B" w:rsidRDefault="0014563B" w:rsidP="0014563B">
      <w:pPr>
        <w:widowControl/>
        <w:spacing w:line="228" w:lineRule="auto"/>
        <w:ind w:left="-57" w:right="-57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lang w:bidi="ru-RU"/>
        </w:rPr>
        <w:t>и узлов двигателя ПД-14</w:t>
      </w:r>
      <w:r>
        <w:rPr>
          <w:rFonts w:ascii="Times New Roman" w:hAnsi="Times New Roman" w:cs="Times New Roman"/>
          <w:b/>
          <w:bCs/>
          <w:sz w:val="32"/>
          <w:szCs w:val="32"/>
          <w:lang w:bidi="ru-RU"/>
        </w:rPr>
        <w:br/>
      </w:r>
      <w:r w:rsidR="00BB0240">
        <w:rPr>
          <w:rFonts w:ascii="Times New Roman" w:hAnsi="Times New Roman" w:cs="Times New Roman"/>
          <w:b/>
          <w:bCs/>
          <w:sz w:val="32"/>
          <w:szCs w:val="32"/>
          <w:lang w:bidi="ru-RU"/>
        </w:rPr>
        <w:t>ПАО</w:t>
      </w:r>
      <w:r>
        <w:rPr>
          <w:rFonts w:ascii="Times New Roman" w:hAnsi="Times New Roman" w:cs="Times New Roman"/>
          <w:b/>
          <w:bCs/>
          <w:sz w:val="32"/>
          <w:szCs w:val="32"/>
          <w:lang w:bidi="ru-RU"/>
        </w:rPr>
        <w:t xml:space="preserve"> «ОДК-УМПО», г. Уфа</w:t>
      </w: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4563B" w:rsidRDefault="0014563B" w:rsidP="0014563B">
      <w:pPr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63B" w:rsidRDefault="0014563B" w:rsidP="001456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63B" w:rsidRPr="00F9581F" w:rsidRDefault="0014563B" w:rsidP="0014563B">
      <w:pPr>
        <w:jc w:val="center"/>
      </w:pPr>
      <w:r>
        <w:rPr>
          <w:rFonts w:ascii="Times New Roman" w:hAnsi="Times New Roman" w:cs="Times New Roman"/>
          <w:sz w:val="28"/>
          <w:szCs w:val="28"/>
        </w:rPr>
        <w:t>2023 г.</w:t>
      </w:r>
    </w:p>
    <w:tbl>
      <w:tblPr>
        <w:tblW w:w="10656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1126"/>
        <w:gridCol w:w="3093"/>
        <w:gridCol w:w="6437"/>
      </w:tblGrid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563B" w:rsidRPr="0014563B" w:rsidRDefault="0014563B" w:rsidP="00BB024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№№</w:t>
            </w:r>
          </w:p>
          <w:p w:rsidR="0014563B" w:rsidRPr="0014563B" w:rsidRDefault="0014563B" w:rsidP="00BB024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563B" w:rsidRPr="0014563B" w:rsidRDefault="0014563B" w:rsidP="00BB024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proofErr w:type="gramEnd"/>
          </w:p>
          <w:p w:rsidR="0014563B" w:rsidRPr="0014563B" w:rsidRDefault="0014563B" w:rsidP="00BB024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63B" w:rsidRPr="0014563B" w:rsidRDefault="0014563B" w:rsidP="00BB0240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Содержание требований</w:t>
            </w:r>
          </w:p>
        </w:tc>
      </w:tr>
      <w:tr w:rsidR="0014563B" w:rsidRPr="0014563B" w:rsidTr="005577E8">
        <w:tc>
          <w:tcPr>
            <w:tcW w:w="10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Общие данные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Основание для прое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тирования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Приказ АО «ОДК» №11-650 от 03.10.2022 г. о начале работ по программе «Государственный гражданский заказ»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Заказчик (Застройщик)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63B" w:rsidRPr="0014563B" w:rsidRDefault="0014563B" w:rsidP="00BB0240">
            <w:pPr>
              <w:pStyle w:val="4"/>
              <w:widowControl/>
              <w:shd w:val="clear" w:color="auto" w:fill="auto"/>
              <w:suppressAutoHyphens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9581F">
              <w:rPr>
                <w:rStyle w:val="2"/>
                <w:sz w:val="28"/>
                <w:szCs w:val="28"/>
              </w:rPr>
              <w:t>ПАО «ОДК - Уфимское моторостроительное пр</w:t>
            </w:r>
            <w:r w:rsidRPr="00F9581F">
              <w:rPr>
                <w:rStyle w:val="2"/>
                <w:sz w:val="28"/>
                <w:szCs w:val="28"/>
              </w:rPr>
              <w:t>о</w:t>
            </w:r>
            <w:r w:rsidRPr="00F9581F">
              <w:rPr>
                <w:rStyle w:val="2"/>
                <w:sz w:val="28"/>
                <w:szCs w:val="28"/>
              </w:rPr>
              <w:t xml:space="preserve">изводственное объединение» </w:t>
            </w:r>
            <w:r w:rsidRPr="00F9581F">
              <w:rPr>
                <w:rStyle w:val="2"/>
                <w:rFonts w:eastAsia="Courier New"/>
                <w:sz w:val="28"/>
                <w:szCs w:val="28"/>
              </w:rPr>
              <w:t>450039, РБ, г. Уфа</w:t>
            </w:r>
            <w:proofErr w:type="gramStart"/>
            <w:r w:rsidRPr="00F9581F">
              <w:rPr>
                <w:rStyle w:val="2"/>
                <w:rFonts w:eastAsia="Courier New"/>
                <w:sz w:val="28"/>
                <w:szCs w:val="28"/>
              </w:rPr>
              <w:t>.</w:t>
            </w:r>
            <w:proofErr w:type="gramEnd"/>
            <w:r w:rsidRPr="00F9581F">
              <w:rPr>
                <w:rStyle w:val="2"/>
                <w:rFonts w:eastAsia="Courier New"/>
                <w:sz w:val="28"/>
                <w:szCs w:val="28"/>
              </w:rPr>
              <w:t xml:space="preserve"> </w:t>
            </w:r>
            <w:proofErr w:type="gramStart"/>
            <w:r w:rsidRPr="00F9581F">
              <w:rPr>
                <w:rStyle w:val="2"/>
                <w:rFonts w:eastAsia="Courier New"/>
                <w:sz w:val="28"/>
                <w:szCs w:val="28"/>
              </w:rPr>
              <w:t>у</w:t>
            </w:r>
            <w:proofErr w:type="gramEnd"/>
            <w:r w:rsidRPr="00F9581F">
              <w:rPr>
                <w:rStyle w:val="2"/>
                <w:rFonts w:eastAsia="Courier New"/>
                <w:sz w:val="28"/>
                <w:szCs w:val="28"/>
              </w:rPr>
              <w:t xml:space="preserve">л. </w:t>
            </w:r>
            <w:proofErr w:type="spellStart"/>
            <w:r w:rsidRPr="00F9581F">
              <w:rPr>
                <w:rStyle w:val="2"/>
                <w:rFonts w:eastAsia="Courier New"/>
                <w:sz w:val="28"/>
                <w:szCs w:val="28"/>
              </w:rPr>
              <w:t>Ферина</w:t>
            </w:r>
            <w:proofErr w:type="spellEnd"/>
            <w:r w:rsidRPr="00F9581F">
              <w:rPr>
                <w:rStyle w:val="2"/>
                <w:rFonts w:eastAsia="Courier New"/>
                <w:sz w:val="28"/>
                <w:szCs w:val="28"/>
              </w:rPr>
              <w:t>, 2.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Местоположение об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екта (город, площадка, адрес)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Республика Башкортостан, ГО г. Уфа, ул. Трамва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ная д.5 (территория 2-й производственной площа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ки ПАО «ОДК – УМПО»)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Проектная организация</w:t>
            </w:r>
          </w:p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(генеральный проект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ровщик)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BB0240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40">
              <w:rPr>
                <w:rFonts w:ascii="Times New Roman" w:hAnsi="Times New Roman" w:cs="Times New Roman"/>
                <w:sz w:val="28"/>
                <w:szCs w:val="28"/>
              </w:rPr>
              <w:t>ООО «Проектно-технический центр «Мир»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AA5366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Технические условия на подключение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Технические условия на подключение к сетям 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женерно-технического обеспечения </w:t>
            </w:r>
            <w:r w:rsidR="00BB0240" w:rsidRPr="0014563B">
              <w:rPr>
                <w:rFonts w:ascii="Times New Roman" w:hAnsi="Times New Roman" w:cs="Times New Roman"/>
                <w:sz w:val="28"/>
                <w:szCs w:val="28"/>
              </w:rPr>
              <w:t>предоставл</w:t>
            </w:r>
            <w:r w:rsidR="00BB0240" w:rsidRPr="001456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B0240" w:rsidRPr="0014563B">
              <w:rPr>
                <w:rFonts w:ascii="Times New Roman" w:hAnsi="Times New Roman" w:cs="Times New Roman"/>
                <w:sz w:val="28"/>
                <w:szCs w:val="28"/>
              </w:rPr>
              <w:t>ются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Заказчиком по запросу Проектировщика в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установленных для Заказчика лимитов.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AA5366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Требования к выдел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нию этапов строител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4563B" w:rsidRPr="0014563B" w:rsidTr="00AA5366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AA5366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Стадийность проект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63B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документация:</w:t>
            </w:r>
          </w:p>
          <w:p w:rsidR="00AA5366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26/08-64439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ИОС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.1 – Система электроснабж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10кВ;</w:t>
            </w:r>
          </w:p>
          <w:p w:rsidR="00AA5366" w:rsidRPr="0014563B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26/08-64439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-ИОС1.2 – Система электроснабжения 0,4кВ.</w:t>
            </w:r>
          </w:p>
          <w:p w:rsidR="0014563B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документация:</w:t>
            </w:r>
          </w:p>
          <w:p w:rsidR="00AA5366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26/08-64439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-0-ЭС1 -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Сети электроснабжения. В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нос сетей из зоны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5366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26/08-64439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-0-ЭС2 -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ЦРП-6кВ. Кабельные линии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5366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26/08-64439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-0-ЭН 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Наружное электроосвещение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5366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26/08-64439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-0-ЭМ1 -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2КТП-2000-6/0,4кВ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5366" w:rsidRPr="00AA5366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26/08-64439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-0-ЭМ2 -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Силовое электрооборудов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ние. Производственная часть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5366" w:rsidRPr="0014563B" w:rsidRDefault="00AA5366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26/08-64439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-0-ЭО - 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Внутреннее электроосвещ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5366">
              <w:rPr>
                <w:rFonts w:ascii="Times New Roman" w:hAnsi="Times New Roman" w:cs="Times New Roman"/>
                <w:sz w:val="28"/>
                <w:szCs w:val="28"/>
              </w:rPr>
              <w:t>ние. Производственная часть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AA5366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9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Идентификационные признаки объекта устанавливаются в соответствии со ст. 4 384-ФЗ "Технический регламент о безопасности зданий и сооружений"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A53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Назначение объекта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Корпус предназначен для размещения оборудов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ния, необходимого для выполнения термической обработки деталей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A53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Принадлежность к об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ектам транспортной инфраструктуры и к другим объектам, 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функционально-технологические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бенности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вл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яют на их безопасность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 не относится к объектам транспортной 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фраструктуры и к другим объектам, функционал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но-технологические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влияют на их безопасность</w:t>
            </w:r>
          </w:p>
        </w:tc>
      </w:tr>
      <w:tr w:rsidR="0014563B" w:rsidRPr="0014563B" w:rsidTr="005577E8">
        <w:tc>
          <w:tcPr>
            <w:tcW w:w="10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Требования к проектным решениям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Вынос кабельных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пятна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стройки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BB0240" w:rsidRDefault="00BB0240" w:rsidP="003B2CED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2CE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r w:rsidR="0014563B" w:rsidRPr="003B2CE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2C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4563B" w:rsidRPr="003B2CED">
              <w:rPr>
                <w:rFonts w:ascii="Times New Roman" w:hAnsi="Times New Roman" w:cs="Times New Roman"/>
                <w:sz w:val="28"/>
                <w:szCs w:val="28"/>
              </w:rPr>
              <w:t xml:space="preserve">ть на основании </w:t>
            </w:r>
            <w:proofErr w:type="gramStart"/>
            <w:r w:rsidR="0014563B" w:rsidRPr="003B2CED">
              <w:rPr>
                <w:rFonts w:ascii="Times New Roman" w:hAnsi="Times New Roman" w:cs="Times New Roman"/>
                <w:sz w:val="28"/>
                <w:szCs w:val="28"/>
              </w:rPr>
              <w:t>выданных</w:t>
            </w:r>
            <w:proofErr w:type="gramEnd"/>
            <w:r w:rsidR="0014563B" w:rsidRPr="003B2CED">
              <w:rPr>
                <w:rFonts w:ascii="Times New Roman" w:hAnsi="Times New Roman" w:cs="Times New Roman"/>
                <w:sz w:val="28"/>
                <w:szCs w:val="28"/>
              </w:rPr>
              <w:t xml:space="preserve"> ТУ Заказчика</w:t>
            </w:r>
            <w:r w:rsidR="000373E4" w:rsidRPr="003B2CE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B2CED" w:rsidRPr="003B2CED">
              <w:rPr>
                <w:rFonts w:ascii="Times New Roman" w:hAnsi="Times New Roman" w:cs="Times New Roman"/>
                <w:sz w:val="28"/>
                <w:szCs w:val="28"/>
              </w:rPr>
              <w:t>67-07-133/23</w:t>
            </w:r>
            <w:r w:rsidR="000373E4" w:rsidRPr="003B2CE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3B2CED" w:rsidRPr="003B2CED">
              <w:rPr>
                <w:rFonts w:ascii="Times New Roman" w:hAnsi="Times New Roman" w:cs="Times New Roman"/>
                <w:sz w:val="28"/>
                <w:szCs w:val="28"/>
              </w:rPr>
              <w:t>15.03.2023</w:t>
            </w:r>
            <w:r w:rsidR="000373E4" w:rsidRPr="003B2CED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14563B" w:rsidRPr="003B2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B2CED">
              <w:rPr>
                <w:rFonts w:ascii="Times New Roman" w:hAnsi="Times New Roman" w:cs="Times New Roman"/>
                <w:sz w:val="28"/>
                <w:szCs w:val="28"/>
              </w:rPr>
              <w:t xml:space="preserve"> с Приложениями.</w:t>
            </w:r>
          </w:p>
        </w:tc>
      </w:tr>
      <w:tr w:rsidR="00844E6A" w:rsidRPr="0014563B" w:rsidTr="00AF1DAF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4E6A" w:rsidRDefault="00844E6A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9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E6A" w:rsidRPr="0014563B" w:rsidRDefault="00844E6A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Устройство системы электроснабжения</w:t>
            </w:r>
          </w:p>
        </w:tc>
      </w:tr>
      <w:tr w:rsidR="0014563B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844E6A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63B" w:rsidRPr="0014563B" w:rsidRDefault="000373E4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Кабельные линии 6кВ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3B" w:rsidRPr="0014563B" w:rsidRDefault="0014563B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Разработать решения с учетом материалов и работ по присоединению объекта к сетям инженерно-технического обеспечения предприятия согласно выданных Заказчиком Технических условий и те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нических требований. Максимально исключить прокладку инженерных сетей и коммуникаций в полах.</w:t>
            </w:r>
          </w:p>
        </w:tc>
      </w:tr>
      <w:tr w:rsidR="002003F5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03F5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  <w:r w:rsidR="003301A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03F5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Электроснабжение корпуса 7А для термообработки деталей и узлов двигателя ПД-14 предусмотреть от РУ-6 кВ ЦРП-1, расположенной в корпусе 7 осях 61-67, рядах А-В.  В РУ-6кВ ЦРП-1 предусмотреть установку двух ячеек КСО 207 «Новация» прои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водств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«НЭТЗ» с выдвижным элементом (моноблоком), укомплектованным вакуумным 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ключателем BB/TEL с электромагнитным прив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дом, ОПН, трансформатором тока 10кВ с литой изоляцией, с двумя вторичными обмотками. 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ектируемые ячейки КСО 207 «Новация» подкл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чить с разных секций РУ 6 кВ ЦРП-1. Для выпо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нения функций управления, контроля и защиты в ячейках предусмотреть установку микропроце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сорных устройств «Сириус-МЛ» на постоянном оперативном токе =220В. Выполнить расчет РЗиА. 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Предусмотреть реконструкцию освещения ЦРП-1.</w:t>
            </w:r>
            <w:r w:rsidR="00BB02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На площадях корпуса предусмотреть строител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ство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двухтрансформаторной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комплектной подста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ции (КТП) расчётной мощности. 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Конструктивные, технические и технологические решения, состав и тип оборудования КТП-6/0,4 кВ будут предоставлены по запросу в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отдельных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ТУ.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Конфигурацию КТП определить проектом.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Электроснабжение КТП выполнить от проектиру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мых ячеек в РУ 6 кВ ЦРП-1 кабелями 10 кВ ра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четного сечения с изоляцией из сшитого полиэт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лена. Кабели до КТП проложить в земле. Выпо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нить расчет кабелей к стойкости токам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КЗ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, терм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ческую и электродинамическую стойкость в ма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симальном и минимальном режимах. 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Предусмотреть: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15% резерв мощности электроснабжения с учетом развития производства.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НКУ со степенью защиты не менее IP54 по ГОСТ IEC 61439-1-2013 согласно приказу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Росстандарта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№816-ст от 25.08.2021 для защиты обслуживающего персонала от контакта с токов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дущими частями соседних функциональных бл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ков. Рекомендуется применить НКУ-ТЭС 0,4 кВ ГК «ТАВРИДА ЭНЕРГО СТРОЙ», обеспечив вид секционирования не ниже 3а для оперативного 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влечения функционального блока без отключения всего электрического щита. С этой целью необх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димы вводные и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секционный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выключатели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выка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исполнения с мотор-приводами. Для остал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ных выключателей допускается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стационарное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полнения. 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технический учет электроэнергии на вводных и 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ходящих линиях КТП. Технический учет электр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энергии рекомендуется выполнить при помощи применяемых блоков защиты и управления автом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тических выключателей РУ-0,4 кВ, с возможн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стью снятия показаний о потребляемой электр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энергии с данных блоков  визуально по месту и д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станционно через систему «Умный щит» по 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кальной сети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Ethernet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предусмотреть установку приборов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пофазного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ко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троля и измерения напряжения и силы тока в щ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товом исполнении на фасадах низковольтных щ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тов на вводах КТП, а также световую сигнализ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цию положения (рабочего, аварийного) коммут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ционного оборудования, возможность ручного (д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станционного и с фасада) управление выключат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лями вводных и секционных присоединений. Предусмотреть щитовые механические и электр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ческие блокировки, препятствующие включению оборудования вследствие ошибочных действий персонала. Предусмотреть схему АВР, обеспеч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вающую включение резервного питания в случае отказа (выхода) из строя основного питания.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В состав КТП должны входить шкафы НКУ-ТЭС 0,4 кВ («ГК ТАВРИДА ЭНЕРГОСТРОЙ»), тран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форматоры с литой изоляцией типа СВЭЛ («РО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ЭНЕРГОТРАНС») с Т-конвертером температурной защиты для системы охлаждения AF40. Климат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ческое исполнение оборудования подстанций должно быть не хуже УХЛ3. Выбор компоновки центров питания и способа электроснабжения электроприемников (централизованная или деце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трализованная схема) определить проектом с уч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том технологической планировки.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В целях обеспечения условий для контроля пок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зателей качества электроэнергии рекомендуется применить многофункциональные приборы SATEC PM175, обеспечивающие измерения показателей качества по ГОСТ 30804.4.30-2013. 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 необходимо учесть технические решения по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термомониторингу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ответственных ко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тактных соединений (шин силовых трансформат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ров, вводов НКУ, силового шинопровода) для ко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троля и передачи данных в SCADA с помощью датчиков по протоколу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ZigBee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Для фильтрации токов высших гармоник, компе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сации реактивной мощности, симметрирования фазных токов применить устройства  RU DRIVE LV SVG, обеспечивающие суммарный коэффиц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ент гармонических составляющих тока и напряж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THDi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&lt;3% и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THDu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&lt;12% соответственно. М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сто установки – помещение КТП.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Система заземления КТП и распределительной 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ти TN-S. Предусмотреть устройство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молниезащиты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зданий и сооружений, также меры защиты от 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пульсных и грозовых перенапряжений. Выполнить требования защиты от прямых и косвенных 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косновений к токоведущим частям. Электрообор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дование электроустановок должно иметь исполн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ние и соответствовать условиям и обеспечивать его эксплуатацию в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пожаро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и взрывоопасных зонах.</w:t>
            </w:r>
          </w:p>
          <w:p w:rsidR="002003F5" w:rsidRPr="0014563B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Опросные листы на КТП согласовать с заказчиком.</w:t>
            </w:r>
          </w:p>
          <w:p w:rsidR="002003F5" w:rsidRDefault="002003F5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Исключить прокладку проектируемых шинопров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дов через  зоны работы кран-балок.</w:t>
            </w:r>
          </w:p>
          <w:p w:rsidR="003B2CED" w:rsidRDefault="003B2CED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CED" w:rsidRDefault="003B2CED" w:rsidP="003B2CED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условия:</w:t>
            </w:r>
          </w:p>
          <w:p w:rsidR="003B2CED" w:rsidRDefault="003B2CED" w:rsidP="003B2CED">
            <w:pPr>
              <w:pStyle w:val="a9"/>
              <w:widowControl/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№67-07-285/23 от 11.05.2023 г. – Технич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ские условия на электроснабжение</w:t>
            </w:r>
          </w:p>
          <w:p w:rsidR="003B2CED" w:rsidRPr="003B2CED" w:rsidRDefault="003B2CED" w:rsidP="003B2CED">
            <w:pPr>
              <w:pStyle w:val="a9"/>
              <w:widowControl/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№28</w:t>
            </w:r>
            <w:r w:rsidRPr="003B2CED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B2CED">
              <w:rPr>
                <w:rFonts w:ascii="Times New Roman" w:hAnsi="Times New Roman" w:cs="Times New Roman"/>
                <w:sz w:val="28"/>
                <w:szCs w:val="28"/>
              </w:rPr>
              <w:t xml:space="preserve">-121/23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02.03.2023 г. - Технические условия на подключение существующей насосной станции (входит в зону строительства нового корпуса)</w:t>
            </w:r>
            <w:bookmarkStart w:id="0" w:name="_GoBack"/>
            <w:bookmarkEnd w:id="0"/>
          </w:p>
        </w:tc>
      </w:tr>
      <w:tr w:rsidR="003301AE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2.2.2.2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Устройство автомат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зированной системы управления энергох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зяйством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Предусмотреть автоматизированную систему управления энергохозяйством корпуса.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Предусмотреть интеграцию технического учёта электроэнергии с применением соответствующего периферийного оборудования.</w:t>
            </w:r>
          </w:p>
        </w:tc>
      </w:tr>
      <w:tr w:rsidR="003301AE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Силовое электрообор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дование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1.  Разработать основные (принципиальные) реш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 по устройству системы электроснабжения 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лового электрооборудования. Электроснабжение силового электрооборудования выполнить от 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ектируемых магистральных и распределительных шинопроводов 0,4 кВ типа «сэндвич» с проводн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ками с покрытием из олова по всей длине и г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бридной изоляцией (</w:t>
            </w:r>
            <w:proofErr w:type="spellStart"/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эпоксидная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+майлар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) с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одн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болтовой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системой сжима и шайбами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Бельвиля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на обоих концах болта в местах стыков типа E-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Line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KXA (EAE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Elektrik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). Степень пыл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влагозащиты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шинопровода принять не менее IP55 по ГОСТ IEC 61439-1-2013. Шинопроводы принять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пятипрово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ными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3P+N+PE. Узлы отбора мощности шинопр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вода с красной цветовой идентификацией должны обеспечивать подключение (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переподключение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) технологического оборудования без снятия напр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жения с шинопровода. при этом вхождение в ко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такт одного или более штырей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ответвительной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ции остальные штыри или гнезда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ответвительной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секции должны быть недоступны для прикоснов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2.Распределительные и групповые сети технолог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ческого  электрооборудования должны быть 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ложены от проектируемых распределительных ш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нопроводов или распределительных пунктов в тр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бах по специальным кабельным конструкциям (в металлических коробах, лотках на подвесах и по строительным конструкциям). Способ проводки определить проектом. 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3.Система электроснабжения должна предусматр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вать: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подключение оборудования с ЧПУ и оборудов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ния, вызывающего пиковые нагрузки, (печи, 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дукторы, сварочные установки и т.п.) от разных трансформаторов КТП. Обеспечение развязки об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рудования в цепях питания.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заземление и уравнивание электрических потенц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алов в электроустановках, содержащих оборудов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ние обработки информации (станки с ЧПУ), (должно быть осуществлено согласно требованиям ГОСТ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50571.21).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тдельный учет электроэнергии корпуса для эле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троосвещения, вентиляционного и технологическ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го оборудования. 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истанционное управление вентиляцией. Пункты дистанционного управления должны быть расп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ложены в диспетчерской. 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золированные троллеи для подачи напряжения на грузоподъемное оборудование.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рокладку шинопроводов, кабелей и других ко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муникаций максимально осуществить на подвесах, а размещение на поддерживающих конструкциях по полу максимально исключить.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еры по защите проектируемого оборудования от импульсных и грозовых перенапряжений, а также меры защиты от электромагнитных воздействий по ГОСТ Р-50571.4.44-2019.</w:t>
            </w:r>
          </w:p>
        </w:tc>
      </w:tr>
      <w:tr w:rsidR="003301AE" w:rsidRPr="0014563B" w:rsidTr="005577E8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Устройство систем з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земления и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молниез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щиты</w:t>
            </w:r>
            <w:proofErr w:type="spellEnd"/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1. Разработать основные (принципиальные) реш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 по устройству системы заземления в соотве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строительных норм и норм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тивных документов. Систему заземления принять TN-S.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2. Для защиты от статического электричества и уравнивания потенциалов к сети заземления дол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ны быть присоединены: строительные констру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ции, стационарно проложенные трубопроводы, технологическое оборудование и короба, резерву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ры, подкрановые пути - совмещенное заземляющее устройство для рабочего и защитного заземления; сопротивление заземляющего контура не более 4 Ом; предусмотреть устройство уравнивания поте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циалов. Разность потенциалов, измеренная в 2-х точках заземляющего контура не должна прев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шать 0,05 В. 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3. Предусмотреть информационное заземление (р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бочее заземление экранов сигнальных проводов). Рабочее-защитное заземление и информационное заземление выполнить в виде автономных конт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ров с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отдельными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заземлителями, не связанными с существующим цеховым контуром и друг с др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гом.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4. Принять меры, обеспечивающие защиту от эле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тромагнитных воздействий (ГОСТ 50571-4-44-2011).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5. Технические решения, принятые при проектир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вании должны обеспечивать безопасную для жизни и здоровья людей эксплуатацию объекта, соотве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ствовать требованиям ГОСТ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50571.10-96.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6. Проектом предусмотреть устройство внутренн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го заземляющего контура. Заземление силового электрооборудования должно быть осуществлено согласно существующим ГОСТ и ПУЭ.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7. Разработать основные (принципиальные) реш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ния по устройству системы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гроз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молниезащиту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корпуса.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8. Проектом предусмотреть меры защиты от пор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жения электрическим током в соответствии с ГОСТ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58882-2020</w:t>
            </w:r>
          </w:p>
        </w:tc>
      </w:tr>
      <w:tr w:rsidR="003301AE" w:rsidRPr="0014563B" w:rsidTr="005577E8">
        <w:trPr>
          <w:trHeight w:val="255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Устройство системы электроосвещения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1.Разработать основные (принципиальные) реш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 по системе электроосвещения (ЭО) на прои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водственных участках, определенных технологич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ской планировкой. 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2.При проектировании использовать современные технические достижения: осветительные шинопр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воды типа SL/DL с проводниками с оловянным п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крытием и крышками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ответвительных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разъемов с цветовой идентификацией проводников,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энерг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экономичные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светильники со светодиодными 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точниками света производства ГК «Световые те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нологии» (включенные в реестр  продукции прои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веденной на территории РФ), с высокой светоотд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чей и коэффициентом мощности согласно Пост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новления Правительства РФ от 24 декабря 2020 г. №2255.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Указанные решения должны иметь соо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ветствующее исполнение по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пылевлагозащите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. В случае использования светодиодных решений предусмотреть конструктив светильников с вне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ним (выносным) блоком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питания-драйвером</w:t>
            </w:r>
            <w:proofErr w:type="gram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. 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нять расчетный коэффициент эксплуатации св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тильников в производственной зоне.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3. Выполнить  расчет электрического освещения производственных зон.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4.Освещенность рабочих мест должна соответств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вать нормам СП 52.13330.2016.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5. Шинопроводы должны быть отдельными для 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бочего и аварийного (дежурного) электроосвещ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ния. Допускается применение кабельной сети для аварийного электроосвещения (ЭО) в технически обоснованных случаях, а также в администрати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но-бытовых и малых производственных помещ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ниях.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6. Управление рабочим и резервным электроосв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щением основных производственных помещений должно быть выполнено от щитов управления освещением, установленных на территории прои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водственного корпуса и централизованно из ди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петчерской корпуса посредством АСУЭ управл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ния освещением по протоколу DALI. </w:t>
            </w:r>
            <w:proofErr w:type="gram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АСУЭ дол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но обеспечивать управление освещением и блок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ровки при включении в ручном (кнопками со шк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фов, установленных в границах участков), диста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ционно (из диспетчерской) и автоматическом 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жимах с возможностью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диммирования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7. Электроосвещение должно включаться с учетом границ производственных участков.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8. Управление дежурным электроосвещением должно осуществляться от кнопочных постов при центральном входе в помещение или участок.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9. Управление электроосвещением остальных 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изводственных и бытовых помещений должно производиться от щитков ЭО и от выключателей, установленных по месту, с учетом границ прои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водственных зон и участков. Ремонтное электр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в производственных помещениях, в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венткамерах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электрощитовых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согласно существующим нормам. Эвакуационное ЭО дол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но быть выполнено согласно пунктам 6.1.21-6.1.29 Правил устройства электроустановок (ПУЭ).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 xml:space="preserve">10. Учет электроэнергии, в </w:t>
            </w:r>
            <w:proofErr w:type="spellStart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. потребляемой сет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ми ЭО и аварийного (дежурного) электроосвещ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ния, должен производиться в целом по корпусу.</w:t>
            </w:r>
          </w:p>
        </w:tc>
      </w:tr>
      <w:tr w:rsidR="003301AE" w:rsidRPr="0014563B" w:rsidTr="005577E8">
        <w:trPr>
          <w:trHeight w:val="644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Требования по обесп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чению безопасности для пользователей зд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нием  и сооружениями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Строительство корпуса  должно быть выполнено таким образом, чтобы в процессе эксплуатации здания или сооружения не возникало угрозы наступления несчастных случаев и нанесения травм людям - пользователям зданиями и сооруж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ниями в результате скольжения, падения, столкн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вения, ожога, поражения электрическим током, а также вследствие взрыва.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Для предотвращения поражения людей электрич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ским током проектные решения должны пред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сматривать меры по обеспечению безопасности электроустановок.</w:t>
            </w:r>
          </w:p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Возможность безопасной эксплуатации систем 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женерно-технического обеспечения и требования к способам проведения мероприятий по ремонту и  техническому обслуживанию (например, шинопр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водов и светильников общего освещения, распол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женных на высоте), при проведении которых 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сутствует угроза нарушения безопасности стро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тельных конструкций, сетей инженерно-технического обеспечения и систем инженерно-технического обеспечения или недопустимого ухудшения параметров среды обитания людей.</w:t>
            </w:r>
          </w:p>
        </w:tc>
      </w:tr>
      <w:tr w:rsidR="003301AE" w:rsidRPr="0014563B" w:rsidTr="005577E8">
        <w:trPr>
          <w:trHeight w:val="315"/>
        </w:trPr>
        <w:tc>
          <w:tcPr>
            <w:tcW w:w="10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1AE" w:rsidRPr="0014563B" w:rsidRDefault="003301AE" w:rsidP="00BB0240">
            <w:pPr>
              <w:widowControl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63B">
              <w:rPr>
                <w:rFonts w:ascii="Times New Roman" w:hAnsi="Times New Roman" w:cs="Times New Roman"/>
                <w:sz w:val="28"/>
                <w:szCs w:val="28"/>
              </w:rPr>
              <w:t>3. Иные требования к проектированию</w:t>
            </w:r>
          </w:p>
        </w:tc>
      </w:tr>
      <w:tr w:rsidR="003301AE" w:rsidRPr="0014563B" w:rsidTr="005577E8">
        <w:trPr>
          <w:trHeight w:val="406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4141C5" w:rsidRDefault="003301AE" w:rsidP="00BB0240">
            <w:pPr>
              <w:pStyle w:val="4"/>
              <w:widowControl/>
              <w:shd w:val="clear" w:color="auto" w:fill="auto"/>
              <w:suppressAutoHyphens w:val="0"/>
              <w:spacing w:after="0" w:line="240" w:lineRule="auto"/>
              <w:ind w:left="360"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3301AE" w:rsidRDefault="003301AE" w:rsidP="00BB0240">
            <w:pPr>
              <w:widowControl/>
              <w:tabs>
                <w:tab w:val="left" w:pos="720"/>
                <w:tab w:val="left" w:pos="1440"/>
              </w:tabs>
              <w:suppressAutoHyphens w:val="0"/>
              <w:ind w:left="-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Электрические нагрузки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1AE" w:rsidRDefault="003301AE" w:rsidP="00BB0240">
            <w:pPr>
              <w:pStyle w:val="a9"/>
              <w:widowControl/>
              <w:numPr>
                <w:ilvl w:val="0"/>
                <w:numId w:val="3"/>
              </w:numPr>
              <w:tabs>
                <w:tab w:val="left" w:pos="720"/>
                <w:tab w:val="left" w:pos="1440"/>
              </w:tabs>
              <w:suppressAutoHyphens w:val="0"/>
              <w:ind w:left="0" w:firstLine="0"/>
              <w:contextualSpacing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Сбор и расчет нагрузок выполнить по РТМ 36.18.32.4-92 «Указания по расчету электрических нагрузок» (далее РТМ).</w:t>
            </w:r>
          </w:p>
          <w:p w:rsidR="003301AE" w:rsidRDefault="003301AE" w:rsidP="00BB0240">
            <w:pPr>
              <w:pStyle w:val="a9"/>
              <w:widowControl/>
              <w:numPr>
                <w:ilvl w:val="0"/>
                <w:numId w:val="3"/>
              </w:numPr>
              <w:tabs>
                <w:tab w:val="left" w:pos="720"/>
                <w:tab w:val="left" w:pos="1440"/>
              </w:tabs>
              <w:suppressAutoHyphens w:val="0"/>
              <w:ind w:left="0" w:firstLine="0"/>
              <w:contextualSpacing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Таблицы нагрузок по РТМ для силовых эле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трических шкафов и распределительных пунктов, шинопроводов, КТП выполнить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MS</w:t>
            </w:r>
            <w:r w:rsidRPr="003301A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3301AE" w:rsidRPr="003301AE" w:rsidRDefault="00691E16" w:rsidP="00BB0240">
            <w:pPr>
              <w:pStyle w:val="a9"/>
              <w:widowControl/>
              <w:numPr>
                <w:ilvl w:val="0"/>
                <w:numId w:val="3"/>
              </w:numPr>
              <w:tabs>
                <w:tab w:val="left" w:pos="720"/>
                <w:tab w:val="left" w:pos="1440"/>
              </w:tabs>
              <w:suppressAutoHyphens w:val="0"/>
              <w:ind w:left="0" w:firstLine="0"/>
              <w:contextualSpacing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Подключить электрические нагрузки сме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ных групп по заданию от этих групп (ОВ, ВК, АПС, СКС и др.)</w:t>
            </w:r>
          </w:p>
        </w:tc>
      </w:tr>
      <w:tr w:rsidR="00B80497" w:rsidRPr="0014563B" w:rsidTr="005577E8">
        <w:trPr>
          <w:trHeight w:val="406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497" w:rsidRDefault="00B80497" w:rsidP="00BB0240">
            <w:pPr>
              <w:pStyle w:val="4"/>
              <w:widowControl/>
              <w:shd w:val="clear" w:color="auto" w:fill="auto"/>
              <w:suppressAutoHyphens w:val="0"/>
              <w:spacing w:after="0" w:line="240" w:lineRule="auto"/>
              <w:ind w:left="360"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3.2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497" w:rsidRDefault="00B80497" w:rsidP="00BB0240">
            <w:pPr>
              <w:widowControl/>
              <w:tabs>
                <w:tab w:val="left" w:pos="720"/>
                <w:tab w:val="left" w:pos="1440"/>
              </w:tabs>
              <w:suppressAutoHyphens w:val="0"/>
              <w:ind w:left="-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Применяемые произв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дители при проектир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вании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497" w:rsidRDefault="00B80497" w:rsidP="00BB0240">
            <w:pPr>
              <w:pStyle w:val="a9"/>
              <w:widowControl/>
              <w:numPr>
                <w:ilvl w:val="0"/>
                <w:numId w:val="4"/>
              </w:numPr>
              <w:tabs>
                <w:tab w:val="left" w:pos="720"/>
                <w:tab w:val="left" w:pos="1440"/>
              </w:tabs>
              <w:suppressAutoHyphens w:val="0"/>
              <w:ind w:left="0" w:firstLine="0"/>
              <w:contextualSpacing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62B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Оборудование применять согласно утве</w:t>
            </w:r>
            <w:r w:rsidRPr="00B62B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</w:t>
            </w:r>
            <w:r w:rsidRPr="00B62B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жденной Заказчиком «</w:t>
            </w:r>
            <w:r w:rsidRPr="00B62B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Карточки инженерного оборудования</w:t>
            </w:r>
            <w:r w:rsidRPr="00B62B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proofErr w:type="gramStart"/>
            <w:r w:rsidRPr="00B62B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62B76" w:rsidRPr="00B62B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</w:p>
          <w:p w:rsidR="00B62B76" w:rsidRPr="00B62B76" w:rsidRDefault="00504516" w:rsidP="00BB0240">
            <w:pPr>
              <w:pStyle w:val="a9"/>
              <w:widowControl/>
              <w:numPr>
                <w:ilvl w:val="0"/>
                <w:numId w:val="4"/>
              </w:numPr>
              <w:tabs>
                <w:tab w:val="left" w:pos="720"/>
                <w:tab w:val="left" w:pos="1440"/>
              </w:tabs>
              <w:suppressAutoHyphens w:val="0"/>
              <w:ind w:left="0" w:firstLine="0"/>
              <w:contextualSpacing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Более точный список применяемого обор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дования в проектах запросить дополнительно.</w:t>
            </w:r>
          </w:p>
        </w:tc>
      </w:tr>
      <w:tr w:rsidR="003301AE" w:rsidRPr="0014563B" w:rsidTr="005577E8">
        <w:trPr>
          <w:trHeight w:val="406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4141C5" w:rsidRDefault="003301AE" w:rsidP="00BB0240">
            <w:pPr>
              <w:pStyle w:val="4"/>
              <w:widowControl/>
              <w:shd w:val="clear" w:color="auto" w:fill="auto"/>
              <w:suppressAutoHyphens w:val="0"/>
              <w:spacing w:after="0" w:line="240" w:lineRule="auto"/>
              <w:ind w:left="360"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="00B8049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4141C5" w:rsidRDefault="003301AE" w:rsidP="00BB0240">
            <w:pPr>
              <w:widowControl/>
              <w:tabs>
                <w:tab w:val="left" w:pos="720"/>
                <w:tab w:val="left" w:pos="1440"/>
              </w:tabs>
              <w:suppressAutoHyphens w:val="0"/>
              <w:ind w:left="-5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Особые условия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1AE" w:rsidRPr="004141C5" w:rsidRDefault="003301AE" w:rsidP="00BB0240">
            <w:pPr>
              <w:widowControl/>
              <w:tabs>
                <w:tab w:val="left" w:pos="720"/>
                <w:tab w:val="left" w:pos="1440"/>
              </w:tabs>
              <w:suppressAutoHyphens w:val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Без дополнительной оплаты участвовать в ра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с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смотрении документации Заказчиком в устано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в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ленном им порядке, защите документации в орг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а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нах экспертизы, представлять необходимые поя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с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нения, документы и обоснования по требованию Заказчика и экспертизы, вносить изменения и д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о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полнения по результатам рассмотрения Заказчиком и замечаниям экспертизы, не противоречащим настоящему Техническому заданию.</w:t>
            </w:r>
          </w:p>
        </w:tc>
      </w:tr>
      <w:tr w:rsidR="003301AE" w:rsidRPr="0014563B" w:rsidTr="005577E8">
        <w:trPr>
          <w:trHeight w:val="640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4141C5" w:rsidRDefault="003301AE" w:rsidP="00BB0240">
            <w:pPr>
              <w:pStyle w:val="4"/>
              <w:widowControl/>
              <w:shd w:val="clear" w:color="auto" w:fill="auto"/>
              <w:suppressAutoHyphens w:val="0"/>
              <w:spacing w:after="0" w:line="240" w:lineRule="auto"/>
              <w:ind w:left="400" w:right="-5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="00B8049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01AE" w:rsidRPr="004141C5" w:rsidRDefault="003301AE" w:rsidP="00BB0240">
            <w:pPr>
              <w:widowControl/>
              <w:tabs>
                <w:tab w:val="left" w:pos="720"/>
                <w:tab w:val="left" w:pos="1440"/>
              </w:tabs>
              <w:suppressAutoHyphens w:val="0"/>
              <w:ind w:left="-5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Формат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документации, передаваемой Заказчику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1AE" w:rsidRDefault="003301AE" w:rsidP="00BB0240">
            <w:pPr>
              <w:widowControl/>
              <w:tabs>
                <w:tab w:val="left" w:pos="720"/>
                <w:tab w:val="left" w:pos="1440"/>
              </w:tabs>
              <w:suppressAutoHyphens w:val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Исполнитель представляет документацию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в форм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те 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*.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val="en-US"/>
              </w:rPr>
              <w:t>dwg</w:t>
            </w:r>
            <w:proofErr w:type="spellEnd"/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и *</w:t>
            </w:r>
            <w:r w:rsidRPr="004141C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val="en-US"/>
              </w:rPr>
              <w:t>pdf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.</w:t>
            </w:r>
          </w:p>
          <w:p w:rsidR="00BB0240" w:rsidRDefault="00BB0240" w:rsidP="00BB0240">
            <w:pPr>
              <w:widowControl/>
              <w:tabs>
                <w:tab w:val="left" w:pos="720"/>
                <w:tab w:val="left" w:pos="1440"/>
              </w:tabs>
              <w:suppressAutoHyphens w:val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Подготовить и передать задания для разработки решений АС, ОВ, ВК</w:t>
            </w:r>
          </w:p>
          <w:p w:rsidR="00BB0240" w:rsidRPr="004141C5" w:rsidRDefault="00BB0240" w:rsidP="00BB0240">
            <w:pPr>
              <w:widowControl/>
              <w:tabs>
                <w:tab w:val="left" w:pos="720"/>
                <w:tab w:val="left" w:pos="1440"/>
              </w:tabs>
              <w:suppressAutoHyphens w:val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Для разработки Сметной документации передать в составе ПД – ВОР,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.</w:t>
            </w:r>
          </w:p>
        </w:tc>
      </w:tr>
    </w:tbl>
    <w:p w:rsidR="007D0B9A" w:rsidRPr="00BB0240" w:rsidRDefault="007D0B9A" w:rsidP="00BB0240">
      <w:pPr>
        <w:widowControl/>
        <w:suppressAutoHyphens w:val="0"/>
        <w:rPr>
          <w:rFonts w:ascii="Times New Roman" w:hAnsi="Times New Roman" w:cs="Times New Roman"/>
        </w:rPr>
      </w:pPr>
    </w:p>
    <w:p w:rsidR="00BB0240" w:rsidRDefault="00BB0240" w:rsidP="00BB0240">
      <w:pPr>
        <w:widowControl/>
        <w:suppressAutoHyphens w:val="0"/>
        <w:rPr>
          <w:rFonts w:ascii="Times New Roman" w:hAnsi="Times New Roman" w:cs="Times New Roman"/>
          <w:sz w:val="28"/>
          <w:szCs w:val="28"/>
          <w:lang w:val="en-US"/>
        </w:rPr>
      </w:pPr>
      <w:r w:rsidRPr="00BB0240">
        <w:rPr>
          <w:rFonts w:ascii="Times New Roman" w:hAnsi="Times New Roman" w:cs="Times New Roman"/>
          <w:sz w:val="28"/>
          <w:szCs w:val="28"/>
        </w:rPr>
        <w:t>ПРИЛОЖЕНИЯ</w:t>
      </w:r>
      <w:r w:rsidRPr="00BB024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B0240" w:rsidRDefault="00BB0240" w:rsidP="00BB0240">
      <w:pPr>
        <w:pStyle w:val="a9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 w:rsidRPr="00BB0240">
        <w:rPr>
          <w:rFonts w:ascii="Times New Roman" w:hAnsi="Times New Roman" w:cs="Times New Roman"/>
          <w:sz w:val="28"/>
          <w:szCs w:val="28"/>
        </w:rPr>
        <w:t xml:space="preserve">Сводная </w:t>
      </w:r>
      <w:proofErr w:type="spellStart"/>
      <w:r w:rsidRPr="00BB0240">
        <w:rPr>
          <w:rFonts w:ascii="Times New Roman" w:hAnsi="Times New Roman" w:cs="Times New Roman"/>
          <w:sz w:val="28"/>
          <w:szCs w:val="28"/>
        </w:rPr>
        <w:t>КартТехРеш</w:t>
      </w:r>
      <w:proofErr w:type="spellEnd"/>
      <w:r w:rsidRPr="00BB0240">
        <w:rPr>
          <w:rFonts w:ascii="Times New Roman" w:hAnsi="Times New Roman" w:cs="Times New Roman"/>
          <w:sz w:val="28"/>
          <w:szCs w:val="28"/>
        </w:rPr>
        <w:t xml:space="preserve"> Верс.1.0 от 13.04.23</w:t>
      </w:r>
    </w:p>
    <w:p w:rsidR="00762A95" w:rsidRDefault="00762A95" w:rsidP="00BB0240">
      <w:pPr>
        <w:pStyle w:val="a9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Проектной документации, состав Рабочей документации, Штамп</w:t>
      </w:r>
    </w:p>
    <w:p w:rsidR="00762A95" w:rsidRPr="00BB0240" w:rsidRDefault="00762A95" w:rsidP="00762A95">
      <w:pPr>
        <w:pStyle w:val="a9"/>
        <w:widowControl/>
        <w:numPr>
          <w:ilvl w:val="0"/>
          <w:numId w:val="5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планировка.</w:t>
      </w:r>
      <w:r w:rsidRPr="00762A95">
        <w:t xml:space="preserve"> </w:t>
      </w:r>
    </w:p>
    <w:sectPr w:rsidR="00762A95" w:rsidRPr="00BB0240" w:rsidSect="0014563B">
      <w:pgSz w:w="11906" w:h="16838"/>
      <w:pgMar w:top="62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3EC6"/>
    <w:multiLevelType w:val="hybridMultilevel"/>
    <w:tmpl w:val="C5C83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D3C41"/>
    <w:multiLevelType w:val="hybridMultilevel"/>
    <w:tmpl w:val="C0FAC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B0842"/>
    <w:multiLevelType w:val="hybridMultilevel"/>
    <w:tmpl w:val="FEF6B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B256F"/>
    <w:multiLevelType w:val="hybridMultilevel"/>
    <w:tmpl w:val="8F7898EA"/>
    <w:lvl w:ilvl="0" w:tplc="B2284D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704A2885"/>
    <w:multiLevelType w:val="hybridMultilevel"/>
    <w:tmpl w:val="B9100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03F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63B"/>
    <w:rsid w:val="000373E4"/>
    <w:rsid w:val="0014563B"/>
    <w:rsid w:val="002003F5"/>
    <w:rsid w:val="003301AE"/>
    <w:rsid w:val="003B2CED"/>
    <w:rsid w:val="003C7FE8"/>
    <w:rsid w:val="004141C5"/>
    <w:rsid w:val="00504516"/>
    <w:rsid w:val="006323D4"/>
    <w:rsid w:val="00691E16"/>
    <w:rsid w:val="006D6292"/>
    <w:rsid w:val="00762A95"/>
    <w:rsid w:val="007D0B9A"/>
    <w:rsid w:val="00844E6A"/>
    <w:rsid w:val="00AA5366"/>
    <w:rsid w:val="00AE7512"/>
    <w:rsid w:val="00B32BB1"/>
    <w:rsid w:val="00B62B76"/>
    <w:rsid w:val="00B80497"/>
    <w:rsid w:val="00BB0240"/>
    <w:rsid w:val="00E472F5"/>
    <w:rsid w:val="00FA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3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4"/>
    <w:rsid w:val="0014563B"/>
    <w:pPr>
      <w:widowControl/>
      <w:spacing w:after="0"/>
      <w:jc w:val="both"/>
    </w:pPr>
    <w:rPr>
      <w:rFonts w:ascii="Times New Roman" w:eastAsia="Times New Roman" w:hAnsi="Times New Roman" w:cs="Mangal"/>
      <w:sz w:val="28"/>
      <w:szCs w:val="28"/>
      <w:shd w:val="clear" w:color="auto" w:fill="FFFFFF"/>
    </w:rPr>
  </w:style>
  <w:style w:type="paragraph" w:customStyle="1" w:styleId="21">
    <w:name w:val="Основной текст 21"/>
    <w:basedOn w:val="a"/>
    <w:rsid w:val="0014563B"/>
    <w:rPr>
      <w:sz w:val="28"/>
      <w:szCs w:val="28"/>
    </w:rPr>
  </w:style>
  <w:style w:type="paragraph" w:customStyle="1" w:styleId="a5">
    <w:name w:val="Центр"/>
    <w:basedOn w:val="a"/>
    <w:rsid w:val="0014563B"/>
    <w:pPr>
      <w:widowControl/>
      <w:jc w:val="center"/>
    </w:pPr>
    <w:rPr>
      <w:rFonts w:ascii="Times New Roman" w:eastAsia="Arial" w:hAnsi="Times New Roman" w:cs="Times New Roman"/>
      <w:sz w:val="28"/>
      <w:szCs w:val="28"/>
    </w:rPr>
  </w:style>
  <w:style w:type="paragraph" w:styleId="a4">
    <w:name w:val="Body Text"/>
    <w:basedOn w:val="a"/>
    <w:link w:val="a6"/>
    <w:uiPriority w:val="99"/>
    <w:semiHidden/>
    <w:unhideWhenUsed/>
    <w:rsid w:val="0014563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4563B"/>
    <w:rPr>
      <w:rFonts w:ascii="Courier New" w:eastAsia="Courier New" w:hAnsi="Courier New" w:cs="Courier New"/>
      <w:color w:val="000000"/>
      <w:sz w:val="24"/>
      <w:szCs w:val="24"/>
      <w:lang w:eastAsia="zh-CN"/>
    </w:rPr>
  </w:style>
  <w:style w:type="paragraph" w:styleId="a7">
    <w:name w:val="Body Text Indent"/>
    <w:basedOn w:val="a"/>
    <w:link w:val="a8"/>
    <w:uiPriority w:val="99"/>
    <w:semiHidden/>
    <w:unhideWhenUsed/>
    <w:rsid w:val="0014563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4563B"/>
    <w:rPr>
      <w:rFonts w:ascii="Courier New" w:eastAsia="Courier New" w:hAnsi="Courier New" w:cs="Courier New"/>
      <w:color w:val="000000"/>
      <w:sz w:val="24"/>
      <w:szCs w:val="24"/>
      <w:lang w:eastAsia="zh-CN"/>
    </w:rPr>
  </w:style>
  <w:style w:type="character" w:customStyle="1" w:styleId="2">
    <w:name w:val="Основной текст2"/>
    <w:rsid w:val="0014563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vertAlign w:val="baseline"/>
      <w:lang w:val="ru-RU" w:bidi="ru-RU"/>
    </w:rPr>
  </w:style>
  <w:style w:type="paragraph" w:customStyle="1" w:styleId="4">
    <w:name w:val="Основной текст4"/>
    <w:basedOn w:val="a"/>
    <w:rsid w:val="0014563B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List Paragraph"/>
    <w:basedOn w:val="a"/>
    <w:uiPriority w:val="34"/>
    <w:qFormat/>
    <w:rsid w:val="00330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3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4"/>
    <w:rsid w:val="0014563B"/>
    <w:pPr>
      <w:widowControl/>
      <w:spacing w:after="0"/>
      <w:jc w:val="both"/>
    </w:pPr>
    <w:rPr>
      <w:rFonts w:ascii="Times New Roman" w:eastAsia="Times New Roman" w:hAnsi="Times New Roman" w:cs="Mangal"/>
      <w:sz w:val="28"/>
      <w:szCs w:val="28"/>
      <w:shd w:val="clear" w:color="auto" w:fill="FFFFFF"/>
    </w:rPr>
  </w:style>
  <w:style w:type="paragraph" w:customStyle="1" w:styleId="21">
    <w:name w:val="Основной текст 21"/>
    <w:basedOn w:val="a"/>
    <w:rsid w:val="0014563B"/>
    <w:rPr>
      <w:sz w:val="28"/>
      <w:szCs w:val="28"/>
    </w:rPr>
  </w:style>
  <w:style w:type="paragraph" w:customStyle="1" w:styleId="a5">
    <w:name w:val="Центр"/>
    <w:basedOn w:val="a"/>
    <w:rsid w:val="0014563B"/>
    <w:pPr>
      <w:widowControl/>
      <w:jc w:val="center"/>
    </w:pPr>
    <w:rPr>
      <w:rFonts w:ascii="Times New Roman" w:eastAsia="Arial" w:hAnsi="Times New Roman" w:cs="Times New Roman"/>
      <w:sz w:val="28"/>
      <w:szCs w:val="28"/>
    </w:rPr>
  </w:style>
  <w:style w:type="paragraph" w:styleId="a4">
    <w:name w:val="Body Text"/>
    <w:basedOn w:val="a"/>
    <w:link w:val="a6"/>
    <w:uiPriority w:val="99"/>
    <w:semiHidden/>
    <w:unhideWhenUsed/>
    <w:rsid w:val="0014563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4563B"/>
    <w:rPr>
      <w:rFonts w:ascii="Courier New" w:eastAsia="Courier New" w:hAnsi="Courier New" w:cs="Courier New"/>
      <w:color w:val="000000"/>
      <w:sz w:val="24"/>
      <w:szCs w:val="24"/>
      <w:lang w:eastAsia="zh-CN"/>
    </w:rPr>
  </w:style>
  <w:style w:type="paragraph" w:styleId="a7">
    <w:name w:val="Body Text Indent"/>
    <w:basedOn w:val="a"/>
    <w:link w:val="a8"/>
    <w:uiPriority w:val="99"/>
    <w:semiHidden/>
    <w:unhideWhenUsed/>
    <w:rsid w:val="0014563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4563B"/>
    <w:rPr>
      <w:rFonts w:ascii="Courier New" w:eastAsia="Courier New" w:hAnsi="Courier New" w:cs="Courier New"/>
      <w:color w:val="000000"/>
      <w:sz w:val="24"/>
      <w:szCs w:val="24"/>
      <w:lang w:eastAsia="zh-CN"/>
    </w:rPr>
  </w:style>
  <w:style w:type="character" w:customStyle="1" w:styleId="2">
    <w:name w:val="Основной текст2"/>
    <w:rsid w:val="0014563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vertAlign w:val="baseline"/>
      <w:lang w:val="ru-RU" w:bidi="ru-RU"/>
    </w:rPr>
  </w:style>
  <w:style w:type="paragraph" w:customStyle="1" w:styleId="4">
    <w:name w:val="Основной текст4"/>
    <w:basedOn w:val="a"/>
    <w:rsid w:val="0014563B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List Paragraph"/>
    <w:basedOn w:val="a"/>
    <w:uiPriority w:val="34"/>
    <w:qFormat/>
    <w:rsid w:val="00330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10</Pages>
  <Words>2620</Words>
  <Characters>14939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ILDAR</dc:creator>
  <cp:lastModifiedBy>ILDAR</cp:lastModifiedBy>
  <cp:revision>8</cp:revision>
  <cp:lastPrinted>2023-04-13T04:10:00Z</cp:lastPrinted>
  <dcterms:created xsi:type="dcterms:W3CDTF">2023-04-13T03:59:00Z</dcterms:created>
  <dcterms:modified xsi:type="dcterms:W3CDTF">2023-05-26T06:20:00Z</dcterms:modified>
</cp:coreProperties>
</file>